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F174CF7" w:rsidP="5F174CF7" w:rsidRDefault="008F4CFA" w14:paraId="339577EE" w14:textId="03C28FB6">
      <w:r>
        <w:rPr>
          <w:noProof/>
          <w:lang w:eastAsia="en-GB"/>
        </w:rPr>
        <w:drawing>
          <wp:anchor distT="0" distB="0" distL="114300" distR="114300" simplePos="0" relativeHeight="251658240" behindDoc="0" locked="0" layoutInCell="1" allowOverlap="1" wp14:anchorId="5A0FE39A" wp14:editId="49933E3E">
            <wp:simplePos x="914400" y="914400"/>
            <wp:positionH relativeFrom="margin">
              <wp:align>right</wp:align>
            </wp:positionH>
            <wp:positionV relativeFrom="margin">
              <wp:align>top</wp:align>
            </wp:positionV>
            <wp:extent cx="2667000" cy="869006"/>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2667000" cy="869006"/>
                    </a:xfrm>
                    <a:prstGeom prst="rect">
                      <a:avLst/>
                    </a:prstGeom>
                  </pic:spPr>
                </pic:pic>
              </a:graphicData>
            </a:graphic>
          </wp:anchor>
        </w:drawing>
      </w:r>
      <w:r w:rsidR="551F775B">
        <w:rPr/>
        <w:t/>
      </w:r>
    </w:p>
    <w:p w:rsidRPr="007B3AD0" w:rsidR="007B3AD0" w:rsidP="007B3AD0" w:rsidRDefault="007B3AD0" w14:paraId="0A37501D" w14:textId="77777777"/>
    <w:p w:rsidRPr="007B3AD0" w:rsidR="007B3AD0" w:rsidP="007B3AD0" w:rsidRDefault="007B3AD0" w14:paraId="5DAB6C7B" w14:textId="77777777"/>
    <w:p w:rsidRPr="007B3AD0" w:rsidR="007B3AD0" w:rsidP="007B3AD0" w:rsidRDefault="007B3AD0" w14:paraId="02EB378F" w14:textId="77777777"/>
    <w:p w:rsidRPr="007B3AD0" w:rsidR="007B3AD0" w:rsidP="007B3AD0" w:rsidRDefault="007B3AD0" w14:paraId="6A05A809" w14:textId="77777777"/>
    <w:p w:rsidRPr="00C347B6" w:rsidR="007B3AD0" w:rsidP="007B3AD0" w:rsidRDefault="007B3AD0" w14:paraId="5A39BBE3" w14:textId="77777777">
      <w:pPr>
        <w:rPr>
          <w:rFonts w:cstheme="minorHAnsi"/>
          <w:sz w:val="24"/>
          <w:szCs w:val="24"/>
        </w:rPr>
      </w:pPr>
    </w:p>
    <w:p w:rsidRPr="00C347B6" w:rsidR="5F174CF7" w:rsidP="5F174CF7" w:rsidRDefault="5F174CF7" w14:paraId="277ABDA1" w14:textId="3609A85C">
      <w:pPr>
        <w:rPr>
          <w:rFonts w:cstheme="minorHAnsi"/>
          <w:sz w:val="56"/>
          <w:szCs w:val="56"/>
        </w:rPr>
      </w:pPr>
    </w:p>
    <w:p w:rsidR="007B3AD0" w:rsidP="007B3AD0" w:rsidRDefault="007B3AD0" w14:paraId="579F1A86" w14:textId="46493F52">
      <w:pPr>
        <w:jc w:val="center"/>
        <w:rPr>
          <w:rFonts w:cstheme="minorHAnsi"/>
          <w:color w:val="1F4E79" w:themeColor="accent1" w:themeShade="80"/>
          <w:sz w:val="56"/>
          <w:szCs w:val="56"/>
        </w:rPr>
      </w:pPr>
      <w:r w:rsidRPr="00C347B6">
        <w:rPr>
          <w:rFonts w:cstheme="minorHAnsi"/>
          <w:color w:val="1F4E79" w:themeColor="accent1" w:themeShade="80"/>
          <w:sz w:val="56"/>
          <w:szCs w:val="56"/>
        </w:rPr>
        <w:t>Careers Policy</w:t>
      </w:r>
      <w:r w:rsidR="00F25CCF">
        <w:rPr>
          <w:rFonts w:cstheme="minorHAnsi"/>
          <w:color w:val="1F4E79" w:themeColor="accent1" w:themeShade="80"/>
          <w:sz w:val="56"/>
          <w:szCs w:val="56"/>
        </w:rPr>
        <w:t>, V1.0</w:t>
      </w:r>
    </w:p>
    <w:p w:rsidR="00F25CCF" w:rsidP="007B3AD0" w:rsidRDefault="00F25CCF" w14:paraId="6FE4034B" w14:textId="195F4D42">
      <w:pPr>
        <w:jc w:val="center"/>
        <w:rPr>
          <w:rFonts w:cstheme="minorHAnsi"/>
          <w:color w:val="1F4E79" w:themeColor="accent1" w:themeShade="80"/>
          <w:sz w:val="56"/>
          <w:szCs w:val="56"/>
        </w:rPr>
      </w:pPr>
    </w:p>
    <w:tbl>
      <w:tblPr>
        <w:tblpPr w:leftFromText="180" w:rightFromText="180" w:vertAnchor="text" w:horzAnchor="margin" w:tblpY="679"/>
        <w:tblW w:w="849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11"/>
        <w:gridCol w:w="2410"/>
        <w:gridCol w:w="2976"/>
      </w:tblGrid>
      <w:tr w:rsidRPr="00F25CCF" w:rsidR="00F25CCF" w:rsidTr="008F4CFA" w14:paraId="2A243A50" w14:textId="77777777">
        <w:trPr>
          <w:trHeight w:val="225"/>
        </w:trPr>
        <w:tc>
          <w:tcPr>
            <w:tcW w:w="3111" w:type="dxa"/>
            <w:tcBorders>
              <w:top w:val="single" w:color="004C7F" w:sz="6" w:space="0"/>
              <w:left w:val="single" w:color="004C7F" w:sz="6" w:space="0"/>
              <w:bottom w:val="single" w:color="004C7F" w:sz="6" w:space="0"/>
              <w:right w:val="single" w:color="004C7F" w:sz="6" w:space="0"/>
            </w:tcBorders>
            <w:shd w:val="clear" w:color="auto" w:fill="FEFEFE"/>
            <w:hideMark/>
          </w:tcPr>
          <w:p w:rsidRPr="00F25CCF" w:rsidR="00F25CCF" w:rsidP="008F4CFA" w:rsidRDefault="00F25CCF" w14:paraId="3BC031BF" w14:textId="678B35BC">
            <w:pPr>
              <w:spacing w:after="0" w:line="240" w:lineRule="auto"/>
              <w:jc w:val="center"/>
              <w:textAlignment w:val="baseline"/>
              <w:rPr>
                <w:rFonts w:eastAsia="Times New Roman" w:cstheme="minorHAnsi"/>
                <w:color w:val="000000"/>
                <w:sz w:val="28"/>
                <w:szCs w:val="28"/>
                <w:lang w:eastAsia="en-GB"/>
              </w:rPr>
            </w:pPr>
            <w:r w:rsidRPr="00F25CCF">
              <w:rPr>
                <w:rFonts w:eastAsia="Times New Roman" w:cstheme="minorHAnsi"/>
                <w:color w:val="004C7F"/>
                <w:sz w:val="28"/>
                <w:szCs w:val="28"/>
                <w:shd w:val="clear" w:color="auto" w:fill="FEFEFE"/>
                <w:lang w:eastAsia="en-GB"/>
              </w:rPr>
              <w:t>Date Reviewed</w:t>
            </w:r>
          </w:p>
        </w:tc>
        <w:tc>
          <w:tcPr>
            <w:tcW w:w="2410" w:type="dxa"/>
            <w:tcBorders>
              <w:top w:val="single" w:color="004C7F" w:sz="6" w:space="0"/>
              <w:left w:val="single" w:color="004C7F" w:sz="6" w:space="0"/>
              <w:bottom w:val="single" w:color="004C7F" w:sz="6" w:space="0"/>
              <w:right w:val="single" w:color="004C7F" w:sz="6" w:space="0"/>
            </w:tcBorders>
            <w:shd w:val="clear" w:color="auto" w:fill="FEFEFE"/>
            <w:hideMark/>
          </w:tcPr>
          <w:p w:rsidRPr="00F25CCF" w:rsidR="00F25CCF" w:rsidP="008F4CFA" w:rsidRDefault="00F25CCF" w14:paraId="57413896" w14:textId="629967E1">
            <w:pPr>
              <w:spacing w:after="0" w:line="240" w:lineRule="auto"/>
              <w:jc w:val="center"/>
              <w:textAlignment w:val="baseline"/>
              <w:rPr>
                <w:rFonts w:eastAsia="Times New Roman" w:cstheme="minorHAnsi"/>
                <w:color w:val="000000"/>
                <w:sz w:val="28"/>
                <w:szCs w:val="28"/>
                <w:lang w:eastAsia="en-GB"/>
              </w:rPr>
            </w:pPr>
            <w:r w:rsidRPr="00F25CCF">
              <w:rPr>
                <w:rFonts w:eastAsia="Times New Roman" w:cstheme="minorHAnsi"/>
                <w:color w:val="004C7F"/>
                <w:sz w:val="28"/>
                <w:szCs w:val="28"/>
                <w:shd w:val="clear" w:color="auto" w:fill="FEFEFE"/>
                <w:lang w:eastAsia="en-GB"/>
              </w:rPr>
              <w:t>Reviewed by</w:t>
            </w:r>
          </w:p>
        </w:tc>
        <w:tc>
          <w:tcPr>
            <w:tcW w:w="2976" w:type="dxa"/>
            <w:tcBorders>
              <w:top w:val="single" w:color="004C7F" w:sz="6" w:space="0"/>
              <w:left w:val="single" w:color="004C7F" w:sz="6" w:space="0"/>
              <w:bottom w:val="single" w:color="004C7F" w:sz="6" w:space="0"/>
              <w:right w:val="single" w:color="004C7F" w:sz="6" w:space="0"/>
            </w:tcBorders>
            <w:shd w:val="clear" w:color="auto" w:fill="FEFEFE"/>
            <w:hideMark/>
          </w:tcPr>
          <w:p w:rsidRPr="00F25CCF" w:rsidR="00F25CCF" w:rsidP="008F4CFA" w:rsidRDefault="00F25CCF" w14:paraId="7C24C847" w14:textId="323302DF">
            <w:pPr>
              <w:spacing w:after="0" w:line="240" w:lineRule="auto"/>
              <w:jc w:val="center"/>
              <w:textAlignment w:val="baseline"/>
              <w:rPr>
                <w:rFonts w:eastAsia="Times New Roman" w:cstheme="minorHAnsi"/>
                <w:color w:val="000000"/>
                <w:sz w:val="28"/>
                <w:szCs w:val="28"/>
                <w:lang w:eastAsia="en-GB"/>
              </w:rPr>
            </w:pPr>
            <w:r w:rsidRPr="00F25CCF">
              <w:rPr>
                <w:rFonts w:eastAsia="Times New Roman" w:cstheme="minorHAnsi"/>
                <w:color w:val="004C7F"/>
                <w:sz w:val="28"/>
                <w:szCs w:val="28"/>
                <w:shd w:val="clear" w:color="auto" w:fill="FEFEFE"/>
                <w:lang w:eastAsia="en-GB"/>
              </w:rPr>
              <w:t>Next Review Date</w:t>
            </w:r>
          </w:p>
        </w:tc>
      </w:tr>
      <w:tr w:rsidRPr="00F25CCF" w:rsidR="00F25CCF" w:rsidTr="008F4CFA" w14:paraId="3772BD87" w14:textId="77777777">
        <w:trPr>
          <w:trHeight w:val="225"/>
        </w:trPr>
        <w:tc>
          <w:tcPr>
            <w:tcW w:w="3111" w:type="dxa"/>
            <w:tcBorders>
              <w:top w:val="single" w:color="004C7F" w:sz="6" w:space="0"/>
              <w:left w:val="single" w:color="004C7F" w:sz="6" w:space="0"/>
              <w:bottom w:val="single" w:color="004C7F" w:sz="6" w:space="0"/>
              <w:right w:val="single" w:color="004C7F" w:sz="6" w:space="0"/>
            </w:tcBorders>
            <w:shd w:val="clear" w:color="auto" w:fill="FEFEFE"/>
            <w:hideMark/>
          </w:tcPr>
          <w:p w:rsidRPr="00F25CCF" w:rsidR="00F25CCF" w:rsidP="008F4CFA" w:rsidRDefault="00F25CCF" w14:paraId="3DC9BCC3" w14:textId="6A020092">
            <w:pPr>
              <w:spacing w:after="0" w:line="240" w:lineRule="auto"/>
              <w:jc w:val="center"/>
              <w:textAlignment w:val="baseline"/>
              <w:rPr>
                <w:rFonts w:eastAsia="Times New Roman" w:cstheme="minorHAnsi"/>
                <w:sz w:val="28"/>
                <w:szCs w:val="28"/>
                <w:lang w:eastAsia="en-GB"/>
              </w:rPr>
            </w:pPr>
            <w:r w:rsidRPr="00F25CCF">
              <w:rPr>
                <w:rFonts w:eastAsia="Times New Roman" w:cstheme="minorHAnsi"/>
                <w:color w:val="004C7F"/>
                <w:sz w:val="28"/>
                <w:szCs w:val="28"/>
                <w:shd w:val="clear" w:color="auto" w:fill="FEFEFE"/>
                <w:lang w:val="en-US" w:eastAsia="en-GB"/>
              </w:rPr>
              <w:t>November 2019</w:t>
            </w:r>
          </w:p>
        </w:tc>
        <w:tc>
          <w:tcPr>
            <w:tcW w:w="2410" w:type="dxa"/>
            <w:tcBorders>
              <w:top w:val="single" w:color="004C7F" w:sz="6" w:space="0"/>
              <w:left w:val="single" w:color="004C7F" w:sz="6" w:space="0"/>
              <w:bottom w:val="single" w:color="004C7F" w:sz="6" w:space="0"/>
              <w:right w:val="single" w:color="004C7F" w:sz="6" w:space="0"/>
            </w:tcBorders>
            <w:shd w:val="clear" w:color="auto" w:fill="FEFEFE"/>
            <w:hideMark/>
          </w:tcPr>
          <w:p w:rsidRPr="00F25CCF" w:rsidR="00F25CCF" w:rsidP="008F4CFA" w:rsidRDefault="00F25CCF" w14:paraId="7F5B699D" w14:textId="69DCDFE4">
            <w:pPr>
              <w:spacing w:after="0" w:line="240" w:lineRule="auto"/>
              <w:jc w:val="center"/>
              <w:textAlignment w:val="baseline"/>
              <w:rPr>
                <w:rFonts w:eastAsia="Times New Roman" w:cstheme="minorHAnsi"/>
                <w:sz w:val="28"/>
                <w:szCs w:val="28"/>
                <w:lang w:eastAsia="en-GB"/>
              </w:rPr>
            </w:pPr>
            <w:r w:rsidRPr="00F25CCF">
              <w:rPr>
                <w:rFonts w:eastAsia="Times New Roman" w:cstheme="minorHAnsi"/>
                <w:color w:val="004C7F"/>
                <w:sz w:val="28"/>
                <w:szCs w:val="28"/>
                <w:shd w:val="clear" w:color="auto" w:fill="FEFEFE"/>
                <w:lang w:val="en-US" w:eastAsia="en-GB"/>
              </w:rPr>
              <w:t>Leon Pinch</w:t>
            </w:r>
          </w:p>
        </w:tc>
        <w:tc>
          <w:tcPr>
            <w:tcW w:w="2976" w:type="dxa"/>
            <w:tcBorders>
              <w:top w:val="single" w:color="004C7F" w:sz="6" w:space="0"/>
              <w:left w:val="single" w:color="004C7F" w:sz="6" w:space="0"/>
              <w:bottom w:val="single" w:color="004C7F" w:sz="6" w:space="0"/>
              <w:right w:val="single" w:color="004C7F" w:sz="6" w:space="0"/>
            </w:tcBorders>
            <w:shd w:val="clear" w:color="auto" w:fill="FEFEFE"/>
            <w:hideMark/>
          </w:tcPr>
          <w:p w:rsidRPr="00F25CCF" w:rsidR="00F25CCF" w:rsidP="008F4CFA" w:rsidRDefault="00F25CCF" w14:paraId="70EFB800" w14:textId="77777777">
            <w:pPr>
              <w:spacing w:after="0" w:line="240" w:lineRule="auto"/>
              <w:jc w:val="center"/>
              <w:textAlignment w:val="baseline"/>
              <w:rPr>
                <w:rFonts w:eastAsia="Times New Roman" w:cstheme="minorHAnsi"/>
                <w:sz w:val="28"/>
                <w:szCs w:val="28"/>
                <w:lang w:eastAsia="en-GB"/>
              </w:rPr>
            </w:pPr>
            <w:r w:rsidRPr="00F25CCF">
              <w:rPr>
                <w:rFonts w:eastAsia="Times New Roman" w:cstheme="minorHAnsi"/>
                <w:color w:val="004C7F"/>
                <w:sz w:val="28"/>
                <w:szCs w:val="28"/>
                <w:shd w:val="clear" w:color="auto" w:fill="FEFEFE"/>
                <w:lang w:val="en-US" w:eastAsia="en-GB"/>
              </w:rPr>
              <w:t>November 2020</w:t>
            </w:r>
          </w:p>
        </w:tc>
      </w:tr>
    </w:tbl>
    <w:p w:rsidRPr="00F25CCF" w:rsidR="00F25CCF" w:rsidP="007B3AD0" w:rsidRDefault="00F25CCF" w14:paraId="78239DF0" w14:textId="096EEC8A">
      <w:pPr>
        <w:jc w:val="center"/>
        <w:rPr>
          <w:rFonts w:cstheme="minorHAnsi"/>
          <w:color w:val="1F4E79" w:themeColor="accent1" w:themeShade="80"/>
          <w:sz w:val="28"/>
          <w:szCs w:val="28"/>
        </w:rPr>
      </w:pPr>
    </w:p>
    <w:p w:rsidR="00F25CCF" w:rsidP="007B3AD0" w:rsidRDefault="00F25CCF" w14:paraId="7F75106B" w14:textId="4903D21B">
      <w:pPr>
        <w:jc w:val="center"/>
        <w:rPr>
          <w:rFonts w:cstheme="minorHAnsi"/>
          <w:color w:val="1F4E79" w:themeColor="accent1" w:themeShade="80"/>
          <w:sz w:val="56"/>
          <w:szCs w:val="56"/>
        </w:rPr>
      </w:pPr>
    </w:p>
    <w:p w:rsidRPr="00C347B6" w:rsidR="00F25CCF" w:rsidP="007B3AD0" w:rsidRDefault="00F25CCF" w14:paraId="32A02BC1" w14:textId="77777777">
      <w:pPr>
        <w:jc w:val="center"/>
        <w:rPr>
          <w:rFonts w:cstheme="minorHAnsi"/>
          <w:color w:val="1F4E79" w:themeColor="accent1" w:themeShade="80"/>
          <w:sz w:val="56"/>
          <w:szCs w:val="56"/>
        </w:rPr>
      </w:pPr>
    </w:p>
    <w:p w:rsidRPr="00C347B6" w:rsidR="007B3AD0" w:rsidRDefault="007B3AD0" w14:paraId="29D6B04F" w14:textId="77777777">
      <w:pPr>
        <w:rPr>
          <w:rFonts w:cstheme="minorHAnsi"/>
          <w:sz w:val="24"/>
          <w:szCs w:val="24"/>
        </w:rPr>
      </w:pPr>
      <w:r w:rsidRPr="00C347B6">
        <w:rPr>
          <w:rFonts w:cstheme="minorHAnsi"/>
          <w:sz w:val="56"/>
          <w:szCs w:val="56"/>
        </w:rPr>
        <w:br w:type="page"/>
      </w:r>
      <w:r w:rsidRPr="00C347B6">
        <w:rPr>
          <w:rFonts w:cstheme="minorHAnsi"/>
          <w:sz w:val="24"/>
          <w:szCs w:val="24"/>
        </w:rPr>
        <w:lastRenderedPageBreak/>
        <w:t xml:space="preserve"> </w:t>
      </w:r>
    </w:p>
    <w:p w:rsidRPr="00C347B6" w:rsidR="002543EE" w:rsidP="5F174CF7" w:rsidRDefault="5F174CF7" w14:paraId="3917D055" w14:textId="55DCD1AE">
      <w:pPr>
        <w:rPr>
          <w:rFonts w:cstheme="minorHAnsi"/>
          <w:sz w:val="24"/>
          <w:szCs w:val="24"/>
          <w:u w:val="single"/>
        </w:rPr>
      </w:pPr>
      <w:r w:rsidRPr="00C347B6">
        <w:rPr>
          <w:rFonts w:cstheme="minorHAnsi"/>
          <w:sz w:val="24"/>
          <w:szCs w:val="24"/>
          <w:u w:val="single"/>
        </w:rPr>
        <w:t>Brookfield School Careers Policy</w:t>
      </w:r>
    </w:p>
    <w:p w:rsidRPr="00C347B6" w:rsidR="002543EE" w:rsidRDefault="002543EE" w14:paraId="055E9176" w14:textId="77777777">
      <w:pPr>
        <w:rPr>
          <w:rFonts w:cstheme="minorHAnsi"/>
          <w:sz w:val="24"/>
          <w:szCs w:val="24"/>
        </w:rPr>
      </w:pPr>
      <w:r w:rsidRPr="00C347B6">
        <w:rPr>
          <w:rFonts w:cstheme="minorHAnsi"/>
          <w:sz w:val="24"/>
          <w:szCs w:val="24"/>
        </w:rPr>
        <w:t>Through Career’</w:t>
      </w:r>
      <w:r w:rsidRPr="00C347B6" w:rsidR="00060BE4">
        <w:rPr>
          <w:rFonts w:cstheme="minorHAnsi"/>
          <w:sz w:val="24"/>
          <w:szCs w:val="24"/>
        </w:rPr>
        <w:t>s Education the school</w:t>
      </w:r>
      <w:r w:rsidRPr="00C347B6">
        <w:rPr>
          <w:rFonts w:cstheme="minorHAnsi"/>
          <w:sz w:val="24"/>
          <w:szCs w:val="24"/>
        </w:rPr>
        <w:t xml:space="preserve"> aim</w:t>
      </w:r>
      <w:r w:rsidRPr="00C347B6" w:rsidR="00060BE4">
        <w:rPr>
          <w:rFonts w:cstheme="minorHAnsi"/>
          <w:sz w:val="24"/>
          <w:szCs w:val="24"/>
        </w:rPr>
        <w:t>s</w:t>
      </w:r>
      <w:r w:rsidRPr="00C347B6">
        <w:rPr>
          <w:rFonts w:cstheme="minorHAnsi"/>
          <w:sz w:val="24"/>
          <w:szCs w:val="24"/>
        </w:rPr>
        <w:t xml:space="preserve"> to support and assist pupils </w:t>
      </w:r>
      <w:r w:rsidRPr="00C347B6" w:rsidR="00F45BDE">
        <w:rPr>
          <w:rFonts w:cstheme="minorHAnsi"/>
          <w:sz w:val="24"/>
          <w:szCs w:val="24"/>
        </w:rPr>
        <w:t>to;</w:t>
      </w:r>
      <w:r w:rsidRPr="00C347B6">
        <w:rPr>
          <w:rFonts w:cstheme="minorHAnsi"/>
          <w:sz w:val="24"/>
          <w:szCs w:val="24"/>
        </w:rPr>
        <w:t xml:space="preserve"> </w:t>
      </w:r>
    </w:p>
    <w:p w:rsidRPr="00C347B6" w:rsidR="002543EE" w:rsidRDefault="002543EE" w14:paraId="67E60CC3" w14:textId="77777777">
      <w:pPr>
        <w:rPr>
          <w:rFonts w:cstheme="minorHAnsi"/>
          <w:sz w:val="24"/>
          <w:szCs w:val="24"/>
        </w:rPr>
      </w:pPr>
      <w:r w:rsidRPr="00C347B6">
        <w:rPr>
          <w:rFonts w:cstheme="minorHAnsi"/>
          <w:sz w:val="24"/>
          <w:szCs w:val="24"/>
        </w:rPr>
        <w:t>Assess their potential in respect of abilities, interests and needs/values</w:t>
      </w:r>
    </w:p>
    <w:p w:rsidRPr="00C347B6" w:rsidR="002543EE" w:rsidRDefault="002543EE" w14:paraId="179F469B" w14:textId="77777777">
      <w:pPr>
        <w:rPr>
          <w:rFonts w:cstheme="minorHAnsi"/>
          <w:sz w:val="24"/>
          <w:szCs w:val="24"/>
        </w:rPr>
      </w:pPr>
      <w:r w:rsidRPr="00C347B6">
        <w:rPr>
          <w:rFonts w:cstheme="minorHAnsi"/>
          <w:sz w:val="24"/>
          <w:szCs w:val="24"/>
        </w:rPr>
        <w:t xml:space="preserve">To develop their ability to make an informed choice about further education/employment that is achievable, realistic and sustainable for their future. </w:t>
      </w:r>
    </w:p>
    <w:p w:rsidRPr="00C347B6" w:rsidR="00F45BDE" w:rsidRDefault="002543EE" w14:paraId="4C13193E" w14:textId="77777777">
      <w:pPr>
        <w:rPr>
          <w:rFonts w:cstheme="minorHAnsi"/>
          <w:sz w:val="24"/>
          <w:szCs w:val="24"/>
        </w:rPr>
      </w:pPr>
      <w:r w:rsidRPr="00C347B6">
        <w:rPr>
          <w:rFonts w:cstheme="minorHAnsi"/>
          <w:sz w:val="24"/>
          <w:szCs w:val="24"/>
        </w:rPr>
        <w:t xml:space="preserve">Be aware of nature and a range of life and occupational opportunities in a context of </w:t>
      </w:r>
      <w:r w:rsidRPr="00C347B6" w:rsidR="00F45BDE">
        <w:rPr>
          <w:rFonts w:cstheme="minorHAnsi"/>
          <w:sz w:val="24"/>
          <w:szCs w:val="24"/>
        </w:rPr>
        <w:t xml:space="preserve">social and economic change. </w:t>
      </w:r>
    </w:p>
    <w:p w:rsidRPr="00C347B6" w:rsidR="00F45BDE" w:rsidRDefault="00F45BDE" w14:paraId="6CDD939B" w14:textId="77777777">
      <w:pPr>
        <w:rPr>
          <w:rFonts w:cstheme="minorHAnsi"/>
          <w:sz w:val="24"/>
          <w:szCs w:val="24"/>
        </w:rPr>
      </w:pPr>
      <w:r w:rsidRPr="00C347B6">
        <w:rPr>
          <w:rFonts w:cstheme="minorHAnsi"/>
          <w:sz w:val="24"/>
          <w:szCs w:val="24"/>
        </w:rPr>
        <w:t xml:space="preserve">Support the transition process by familiarisation visits and getting to know alternative environments and assisting them towards the independence required to access these provisions. </w:t>
      </w:r>
    </w:p>
    <w:p w:rsidRPr="00C347B6" w:rsidR="002543EE" w:rsidRDefault="00F45BDE" w14:paraId="0DFAE634" w14:textId="77777777">
      <w:pPr>
        <w:rPr>
          <w:rFonts w:cstheme="minorHAnsi"/>
          <w:sz w:val="24"/>
          <w:szCs w:val="24"/>
        </w:rPr>
      </w:pPr>
      <w:r w:rsidRPr="00C347B6">
        <w:rPr>
          <w:rFonts w:cstheme="minorHAnsi"/>
          <w:sz w:val="24"/>
          <w:szCs w:val="24"/>
        </w:rPr>
        <w:t xml:space="preserve">  </w:t>
      </w:r>
    </w:p>
    <w:p w:rsidRPr="00C347B6" w:rsidR="007B3AD0" w:rsidP="007B3AD0" w:rsidRDefault="002543EE" w14:paraId="2EC98121" w14:textId="77777777">
      <w:pPr>
        <w:spacing w:line="276" w:lineRule="auto"/>
        <w:rPr>
          <w:rFonts w:cstheme="minorHAnsi"/>
          <w:sz w:val="24"/>
          <w:szCs w:val="24"/>
        </w:rPr>
      </w:pPr>
      <w:r w:rsidRPr="00C347B6">
        <w:rPr>
          <w:rFonts w:cstheme="minorHAnsi"/>
          <w:sz w:val="24"/>
          <w:szCs w:val="24"/>
        </w:rPr>
        <w:t>A young person’s career is their pathway through learning and work. All young people need a planned programme of activities</w:t>
      </w:r>
      <w:r w:rsidRPr="00C347B6" w:rsidR="00060BE4">
        <w:rPr>
          <w:rFonts w:cstheme="minorHAnsi"/>
          <w:sz w:val="24"/>
          <w:szCs w:val="24"/>
        </w:rPr>
        <w:t xml:space="preserve"> to help them make post 16 choices</w:t>
      </w:r>
      <w:r w:rsidRPr="00C347B6">
        <w:rPr>
          <w:rFonts w:cstheme="minorHAnsi"/>
          <w:sz w:val="24"/>
          <w:szCs w:val="24"/>
        </w:rPr>
        <w:t xml:space="preserve"> that are right for them and to be able to manage their careers througho</w:t>
      </w:r>
      <w:r w:rsidRPr="00C347B6" w:rsidR="00F45BDE">
        <w:rPr>
          <w:rFonts w:cstheme="minorHAnsi"/>
          <w:sz w:val="24"/>
          <w:szCs w:val="24"/>
        </w:rPr>
        <w:t>ut their lives. Brookfield</w:t>
      </w:r>
      <w:r w:rsidRPr="00C347B6">
        <w:rPr>
          <w:rFonts w:cstheme="minorHAnsi"/>
          <w:sz w:val="24"/>
          <w:szCs w:val="24"/>
        </w:rPr>
        <w:t xml:space="preserve"> School is committed to providing a planned programme of careers ed</w:t>
      </w:r>
      <w:r w:rsidRPr="00C347B6" w:rsidR="00F45BDE">
        <w:rPr>
          <w:rFonts w:cstheme="minorHAnsi"/>
          <w:sz w:val="24"/>
          <w:szCs w:val="24"/>
        </w:rPr>
        <w:t xml:space="preserve">ucation for all students. </w:t>
      </w:r>
    </w:p>
    <w:p w:rsidRPr="00C347B6" w:rsidR="007B3AD0" w:rsidP="5F174CF7" w:rsidRDefault="5F174CF7" w14:paraId="260A348B" w14:textId="74988E8C">
      <w:pPr>
        <w:spacing w:line="276" w:lineRule="auto"/>
        <w:rPr>
          <w:rFonts w:cstheme="minorHAnsi"/>
          <w:sz w:val="24"/>
          <w:szCs w:val="24"/>
        </w:rPr>
      </w:pPr>
      <w:r w:rsidRPr="00C347B6">
        <w:rPr>
          <w:rFonts w:cstheme="minorHAnsi"/>
          <w:sz w:val="24"/>
          <w:szCs w:val="24"/>
        </w:rPr>
        <w:t xml:space="preserve">Brookfield School is currently working to fulfil the 8 Gatsby Benchmarks in partnership with </w:t>
      </w:r>
      <w:proofErr w:type="spellStart"/>
      <w:r w:rsidRPr="00C347B6">
        <w:rPr>
          <w:rFonts w:cstheme="minorHAnsi"/>
          <w:sz w:val="24"/>
          <w:szCs w:val="24"/>
        </w:rPr>
        <w:t>Inspira</w:t>
      </w:r>
      <w:proofErr w:type="spellEnd"/>
      <w:r w:rsidRPr="00C347B6">
        <w:rPr>
          <w:rFonts w:cstheme="minorHAnsi"/>
          <w:sz w:val="24"/>
          <w:szCs w:val="24"/>
        </w:rPr>
        <w:t xml:space="preserve">. This policy was developed and will be reviewed annually through discussions with teaching staff; students, parents and governors. It supports and is underpinned by key school policies including those for teaching and learning, assessment, recording and reporting achievement, equal opportunities and diversity, health and safety and special needs. </w:t>
      </w:r>
    </w:p>
    <w:p w:rsidRPr="00C347B6" w:rsidR="007B3AD0" w:rsidP="551F775B" w:rsidRDefault="002543EE" w14:paraId="68190554" w14:textId="42C44FCC">
      <w:pPr>
        <w:spacing w:line="276" w:lineRule="auto"/>
        <w:rPr>
          <w:rFonts w:cs="Calibri" w:cstheme="minorAscii"/>
          <w:sz w:val="24"/>
          <w:szCs w:val="24"/>
        </w:rPr>
      </w:pPr>
      <w:r w:rsidRPr="551F775B" w:rsidR="551F775B">
        <w:rPr>
          <w:rFonts w:cs="Calibri" w:cstheme="minorAscii"/>
          <w:sz w:val="24"/>
          <w:szCs w:val="24"/>
        </w:rPr>
        <w:t xml:space="preserve">The careers programme is designed to meet the needs of students at this school. It is differentiated and personalised to ensure progression through activities that are appropriate to students’ stages of career learning, planning and development. It will be integrated into students’ experience of the whole curriculum and be based on a partnership with students and their parents or carers. The programme will promote equality of opportunity, inclusion and anti-racism. </w:t>
      </w:r>
      <w:r w:rsidRPr="551F775B" w:rsidR="551F775B">
        <w:rPr>
          <w:rFonts w:cs="Calibri" w:cstheme="minorAscii"/>
          <w:sz w:val="24"/>
          <w:szCs w:val="24"/>
        </w:rPr>
        <w:t xml:space="preserve"> Details of the careers programme offered at Brookfield School can be found as shared </w:t>
      </w:r>
      <w:r w:rsidRPr="551F775B" w:rsidR="551F775B">
        <w:rPr>
          <w:rFonts w:cs="Calibri" w:cstheme="minorAscii"/>
          <w:sz w:val="24"/>
          <w:szCs w:val="24"/>
        </w:rPr>
        <w:t>documents</w:t>
      </w:r>
      <w:r w:rsidRPr="551F775B" w:rsidR="551F775B">
        <w:rPr>
          <w:rFonts w:cs="Calibri" w:cstheme="minorAscii"/>
          <w:sz w:val="24"/>
          <w:szCs w:val="24"/>
        </w:rPr>
        <w:t xml:space="preserve"> on Staff </w:t>
      </w:r>
      <w:proofErr w:type="spellStart"/>
      <w:r w:rsidRPr="551F775B" w:rsidR="551F775B">
        <w:rPr>
          <w:rFonts w:cs="Calibri" w:cstheme="minorAscii"/>
          <w:sz w:val="24"/>
          <w:szCs w:val="24"/>
        </w:rPr>
        <w:t>Sharepoint</w:t>
      </w:r>
      <w:proofErr w:type="spellEnd"/>
      <w:r w:rsidRPr="551F775B" w:rsidR="551F775B">
        <w:rPr>
          <w:rFonts w:cs="Calibri" w:cstheme="minorAscii"/>
          <w:sz w:val="24"/>
          <w:szCs w:val="24"/>
        </w:rPr>
        <w:t xml:space="preserve"> in the CEIAG and Work Experience Folder.</w:t>
      </w:r>
    </w:p>
    <w:p w:rsidRPr="00C347B6" w:rsidR="007B3AD0" w:rsidP="5F174CF7" w:rsidRDefault="5F174CF7" w14:paraId="3B950CC5" w14:textId="50AACB49">
      <w:pPr>
        <w:spacing w:line="276" w:lineRule="auto"/>
        <w:rPr>
          <w:rFonts w:cstheme="minorHAnsi"/>
          <w:sz w:val="24"/>
          <w:szCs w:val="24"/>
        </w:rPr>
      </w:pPr>
      <w:r w:rsidRPr="00C347B6">
        <w:rPr>
          <w:rFonts w:cstheme="minorHAnsi"/>
          <w:sz w:val="24"/>
          <w:szCs w:val="24"/>
        </w:rPr>
        <w:t xml:space="preserve">The careers co-ordinators are responsible for ensuring that all year 11 pupils have completed application forms and are then responsible for tracking this through to interview and offer of a place. They are responsible for work experience with year 11’s who wish to take this up and are able to succeed and achieve. </w:t>
      </w:r>
    </w:p>
    <w:p w:rsidRPr="00C347B6" w:rsidR="007B3AD0" w:rsidP="007B3AD0" w:rsidRDefault="007B3AD0" w14:paraId="44EAFD9C" w14:textId="77777777">
      <w:pPr>
        <w:spacing w:line="276" w:lineRule="auto"/>
        <w:rPr>
          <w:rFonts w:cstheme="minorHAnsi"/>
          <w:sz w:val="24"/>
          <w:szCs w:val="24"/>
        </w:rPr>
      </w:pPr>
    </w:p>
    <w:p w:rsidRPr="00C347B6" w:rsidR="007B3AD0" w:rsidP="007B3AD0" w:rsidRDefault="007B3AD0" w14:paraId="4B94D5A5" w14:textId="77777777">
      <w:pPr>
        <w:spacing w:line="276" w:lineRule="auto"/>
        <w:rPr>
          <w:rFonts w:cstheme="minorHAnsi"/>
          <w:sz w:val="24"/>
          <w:szCs w:val="24"/>
        </w:rPr>
      </w:pPr>
    </w:p>
    <w:p w:rsidRPr="00C347B6" w:rsidR="007B3AD0" w:rsidP="007B3AD0" w:rsidRDefault="007B3AD0" w14:paraId="3DEEC669" w14:textId="77777777">
      <w:pPr>
        <w:spacing w:line="276" w:lineRule="auto"/>
        <w:rPr>
          <w:rFonts w:cstheme="minorHAnsi"/>
          <w:sz w:val="24"/>
          <w:szCs w:val="24"/>
        </w:rPr>
      </w:pPr>
    </w:p>
    <w:p w:rsidRPr="00C347B6" w:rsidR="007B3AD0" w:rsidP="007B3AD0" w:rsidRDefault="007B3AD0" w14:paraId="3656B9AB" w14:textId="77777777">
      <w:pPr>
        <w:spacing w:line="276" w:lineRule="auto"/>
        <w:rPr>
          <w:rFonts w:cstheme="minorHAnsi"/>
          <w:sz w:val="24"/>
          <w:szCs w:val="24"/>
        </w:rPr>
      </w:pPr>
    </w:p>
    <w:p w:rsidRPr="00C347B6" w:rsidR="007B3AD0" w:rsidP="5F174CF7" w:rsidRDefault="5F174CF7" w14:paraId="68AA91F9" w14:textId="6D46DFFC">
      <w:pPr>
        <w:spacing w:line="276" w:lineRule="auto"/>
        <w:rPr>
          <w:rFonts w:cstheme="minorHAnsi"/>
          <w:sz w:val="24"/>
          <w:szCs w:val="24"/>
        </w:rPr>
      </w:pPr>
      <w:r w:rsidRPr="00C347B6">
        <w:rPr>
          <w:rFonts w:cstheme="minorHAnsi"/>
          <w:sz w:val="24"/>
          <w:szCs w:val="24"/>
        </w:rPr>
        <w:t xml:space="preserve">All staff contribute to the </w:t>
      </w:r>
      <w:proofErr w:type="gramStart"/>
      <w:r w:rsidRPr="00C347B6">
        <w:rPr>
          <w:rFonts w:cstheme="minorHAnsi"/>
          <w:sz w:val="24"/>
          <w:szCs w:val="24"/>
        </w:rPr>
        <w:t>careers</w:t>
      </w:r>
      <w:proofErr w:type="gramEnd"/>
      <w:r w:rsidRPr="00C347B6">
        <w:rPr>
          <w:rFonts w:cstheme="minorHAnsi"/>
          <w:sz w:val="24"/>
          <w:szCs w:val="24"/>
        </w:rPr>
        <w:t xml:space="preserve"> education provision through their roles as form tutors and subject teachers. The careers programme includes careers education sessions, career guidance activities (group work and individual reviews), information and research activities, work related learning (including work experience), and individual learning. Careers lessons form part of the school’s Personal Development programme. </w:t>
      </w:r>
    </w:p>
    <w:p w:rsidRPr="00C347B6" w:rsidR="00170854" w:rsidP="007B3AD0" w:rsidRDefault="002543EE" w14:paraId="3FA7A619" w14:textId="77777777">
      <w:pPr>
        <w:spacing w:line="276" w:lineRule="auto"/>
        <w:rPr>
          <w:rFonts w:cstheme="minorHAnsi"/>
          <w:sz w:val="24"/>
          <w:szCs w:val="24"/>
        </w:rPr>
      </w:pPr>
      <w:r w:rsidRPr="00C347B6">
        <w:rPr>
          <w:rFonts w:cstheme="minorHAnsi"/>
          <w:sz w:val="24"/>
          <w:szCs w:val="24"/>
        </w:rPr>
        <w:t>Other focused events, e.g. Careers fairs, FE Taster Days, employer visits days are planned on an annual basis. Work experience preparation and follow- u</w:t>
      </w:r>
      <w:r w:rsidRPr="00C347B6" w:rsidR="00060BE4">
        <w:rPr>
          <w:rFonts w:cstheme="minorHAnsi"/>
          <w:sz w:val="24"/>
          <w:szCs w:val="24"/>
        </w:rPr>
        <w:t xml:space="preserve">p take place in careers lessons. </w:t>
      </w:r>
    </w:p>
    <w:p w:rsidR="00060BE4" w:rsidP="5F174CF7" w:rsidRDefault="5F174CF7" w14:paraId="740F9A27" w14:textId="30C7AC29">
      <w:pPr>
        <w:spacing w:line="276" w:lineRule="auto"/>
        <w:rPr>
          <w:rFonts w:cstheme="minorHAnsi"/>
          <w:sz w:val="24"/>
          <w:szCs w:val="24"/>
        </w:rPr>
      </w:pPr>
      <w:r w:rsidRPr="00C347B6">
        <w:rPr>
          <w:rFonts w:cstheme="minorHAnsi"/>
          <w:sz w:val="24"/>
          <w:szCs w:val="24"/>
        </w:rPr>
        <w:t>Brookfield School recognise that all pupils are unique and have individual needs, and as a school we strive to ensure those needs are met supporting transitions to College, Apprenticeships, Training Providers or Employment post-16.</w:t>
      </w:r>
    </w:p>
    <w:p w:rsidR="008F4CFA" w:rsidP="5F174CF7" w:rsidRDefault="008F4CFA" w14:paraId="7724805A" w14:textId="1A18E05A">
      <w:pPr>
        <w:spacing w:line="276" w:lineRule="auto"/>
        <w:rPr>
          <w:rFonts w:cstheme="minorHAnsi"/>
          <w:sz w:val="24"/>
          <w:szCs w:val="24"/>
        </w:rPr>
      </w:pPr>
    </w:p>
    <w:p w:rsidRPr="0029052F" w:rsidR="008F4CFA" w:rsidP="5F174CF7" w:rsidRDefault="008F4CFA" w14:paraId="4763A8BF" w14:textId="420EF925">
      <w:pPr>
        <w:spacing w:line="276" w:lineRule="auto"/>
        <w:rPr>
          <w:rFonts w:cstheme="minorHAnsi"/>
          <w:b/>
          <w:sz w:val="24"/>
          <w:szCs w:val="24"/>
        </w:rPr>
      </w:pPr>
      <w:bookmarkStart w:name="_GoBack" w:id="0"/>
      <w:r w:rsidRPr="0029052F">
        <w:rPr>
          <w:rFonts w:cstheme="minorHAnsi"/>
          <w:b/>
          <w:sz w:val="24"/>
          <w:szCs w:val="24"/>
        </w:rPr>
        <w:t>Careers Co-ordinators:</w:t>
      </w:r>
    </w:p>
    <w:bookmarkEnd w:id="0"/>
    <w:p w:rsidR="008F4CFA" w:rsidP="0029052F" w:rsidRDefault="008F4CFA" w14:paraId="5378E91E" w14:textId="70496716">
      <w:pPr>
        <w:spacing w:line="276" w:lineRule="auto"/>
        <w:ind w:firstLine="720"/>
        <w:rPr>
          <w:rFonts w:cstheme="minorHAnsi"/>
          <w:sz w:val="24"/>
          <w:szCs w:val="24"/>
        </w:rPr>
      </w:pPr>
      <w:r>
        <w:rPr>
          <w:rFonts w:cstheme="minorHAnsi"/>
          <w:sz w:val="24"/>
          <w:szCs w:val="24"/>
        </w:rPr>
        <w:t>Leon Pinch – Poulton</w:t>
      </w:r>
      <w:r w:rsidR="0029052F">
        <w:rPr>
          <w:rFonts w:cstheme="minorHAnsi"/>
          <w:sz w:val="24"/>
          <w:szCs w:val="24"/>
        </w:rPr>
        <w:t>, Retreat</w:t>
      </w:r>
      <w:r>
        <w:rPr>
          <w:rFonts w:cstheme="minorHAnsi"/>
          <w:sz w:val="24"/>
          <w:szCs w:val="24"/>
        </w:rPr>
        <w:t xml:space="preserve"> and Bespoke</w:t>
      </w:r>
    </w:p>
    <w:p w:rsidR="008F4CFA" w:rsidP="0029052F" w:rsidRDefault="008F4CFA" w14:paraId="67984E1C" w14:textId="67205469">
      <w:pPr>
        <w:spacing w:line="276" w:lineRule="auto"/>
        <w:ind w:firstLine="720"/>
        <w:rPr>
          <w:rFonts w:cstheme="minorHAnsi"/>
          <w:sz w:val="24"/>
          <w:szCs w:val="24"/>
        </w:rPr>
      </w:pPr>
      <w:r>
        <w:rPr>
          <w:rFonts w:cstheme="minorHAnsi"/>
          <w:sz w:val="24"/>
          <w:szCs w:val="24"/>
        </w:rPr>
        <w:t>Katie Brocklehurst – Bispham</w:t>
      </w:r>
    </w:p>
    <w:p w:rsidRPr="00C347B6" w:rsidR="008F4CFA" w:rsidP="0029052F" w:rsidRDefault="008F4CFA" w14:paraId="50D6576C" w14:textId="24DA240E">
      <w:pPr>
        <w:spacing w:line="276" w:lineRule="auto"/>
        <w:ind w:firstLine="720"/>
        <w:rPr>
          <w:rFonts w:cstheme="minorHAnsi"/>
          <w:sz w:val="24"/>
          <w:szCs w:val="24"/>
        </w:rPr>
      </w:pPr>
      <w:r>
        <w:rPr>
          <w:rFonts w:cstheme="minorHAnsi"/>
          <w:sz w:val="24"/>
          <w:szCs w:val="24"/>
        </w:rPr>
        <w:t>Paul Addison - Preston</w:t>
      </w:r>
    </w:p>
    <w:sectPr w:rsidRPr="00C347B6" w:rsidR="008F4CFA">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BF7" w:rsidP="007B3AD0" w:rsidRDefault="00571BF7" w14:paraId="32E81BCA" w14:textId="77777777">
      <w:pPr>
        <w:spacing w:after="0" w:line="240" w:lineRule="auto"/>
      </w:pPr>
      <w:r>
        <w:separator/>
      </w:r>
    </w:p>
  </w:endnote>
  <w:endnote w:type="continuationSeparator" w:id="0">
    <w:p w:rsidR="00571BF7" w:rsidP="007B3AD0" w:rsidRDefault="00571BF7" w14:paraId="59B0F0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AD0" w:rsidP="007B3AD0" w:rsidRDefault="007B3AD0" w14:paraId="45FB0818" w14:textId="34C83AB5">
    <w:pPr>
      <w:pStyle w:val="Footer"/>
    </w:pPr>
  </w:p>
  <w:p w:rsidR="00F25CCF" w:rsidP="007B3AD0" w:rsidRDefault="00F25CCF" w14:paraId="00810A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BF7" w:rsidP="007B3AD0" w:rsidRDefault="00571BF7" w14:paraId="16EAB33C" w14:textId="77777777">
      <w:pPr>
        <w:spacing w:after="0" w:line="240" w:lineRule="auto"/>
      </w:pPr>
      <w:r>
        <w:separator/>
      </w:r>
    </w:p>
  </w:footnote>
  <w:footnote w:type="continuationSeparator" w:id="0">
    <w:p w:rsidR="00571BF7" w:rsidP="007B3AD0" w:rsidRDefault="00571BF7" w14:paraId="7EB4442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AD0" w:rsidP="007B3AD0" w:rsidRDefault="007B3AD0" w14:paraId="049F31CB" w14:textId="525A09D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EE"/>
    <w:rsid w:val="00060BE4"/>
    <w:rsid w:val="00140A98"/>
    <w:rsid w:val="00170854"/>
    <w:rsid w:val="002543EE"/>
    <w:rsid w:val="0029052F"/>
    <w:rsid w:val="00571BF7"/>
    <w:rsid w:val="007B3AD0"/>
    <w:rsid w:val="008F4CFA"/>
    <w:rsid w:val="00C347B6"/>
    <w:rsid w:val="00CF2076"/>
    <w:rsid w:val="00F25CCF"/>
    <w:rsid w:val="00F45BDE"/>
    <w:rsid w:val="551F775B"/>
    <w:rsid w:val="5F17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72B6"/>
  <w15:chartTrackingRefBased/>
  <w15:docId w15:val="{E1F8F229-E03E-4411-955A-46523FC5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B3AD0"/>
    <w:pPr>
      <w:tabs>
        <w:tab w:val="center" w:pos="4513"/>
        <w:tab w:val="right" w:pos="9026"/>
      </w:tabs>
      <w:spacing w:after="0" w:line="240" w:lineRule="auto"/>
    </w:pPr>
  </w:style>
  <w:style w:type="character" w:styleId="HeaderChar" w:customStyle="1">
    <w:name w:val="Header Char"/>
    <w:basedOn w:val="DefaultParagraphFont"/>
    <w:link w:val="Header"/>
    <w:uiPriority w:val="99"/>
    <w:rsid w:val="007B3AD0"/>
  </w:style>
  <w:style w:type="paragraph" w:styleId="Footer">
    <w:name w:val="footer"/>
    <w:basedOn w:val="Normal"/>
    <w:link w:val="FooterChar"/>
    <w:uiPriority w:val="99"/>
    <w:unhideWhenUsed/>
    <w:rsid w:val="007B3AD0"/>
    <w:pPr>
      <w:tabs>
        <w:tab w:val="center" w:pos="4513"/>
        <w:tab w:val="right" w:pos="9026"/>
      </w:tabs>
      <w:spacing w:after="0" w:line="240" w:lineRule="auto"/>
    </w:pPr>
  </w:style>
  <w:style w:type="character" w:styleId="FooterChar" w:customStyle="1">
    <w:name w:val="Footer Char"/>
    <w:basedOn w:val="DefaultParagraphFont"/>
    <w:link w:val="Footer"/>
    <w:uiPriority w:val="99"/>
    <w:rsid w:val="007B3AD0"/>
  </w:style>
  <w:style w:type="paragraph" w:styleId="paragraph" w:customStyle="1">
    <w:name w:val="paragraph"/>
    <w:basedOn w:val="Normal"/>
    <w:rsid w:val="007B3AD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B3AD0"/>
  </w:style>
  <w:style w:type="character" w:styleId="eop" w:customStyle="1">
    <w:name w:val="eop"/>
    <w:basedOn w:val="DefaultParagraphFont"/>
    <w:rsid w:val="007B3AD0"/>
  </w:style>
  <w:style w:type="paragraph" w:styleId="BalloonText">
    <w:name w:val="Balloon Text"/>
    <w:basedOn w:val="Normal"/>
    <w:link w:val="BalloonTextChar"/>
    <w:uiPriority w:val="99"/>
    <w:semiHidden/>
    <w:unhideWhenUsed/>
    <w:rsid w:val="00C347B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4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3622">
      <w:bodyDiv w:val="1"/>
      <w:marLeft w:val="0"/>
      <w:marRight w:val="0"/>
      <w:marTop w:val="0"/>
      <w:marBottom w:val="0"/>
      <w:divBdr>
        <w:top w:val="none" w:sz="0" w:space="0" w:color="auto"/>
        <w:left w:val="none" w:sz="0" w:space="0" w:color="auto"/>
        <w:bottom w:val="none" w:sz="0" w:space="0" w:color="auto"/>
        <w:right w:val="none" w:sz="0" w:space="0" w:color="auto"/>
      </w:divBdr>
      <w:divsChild>
        <w:div w:id="272443550">
          <w:marLeft w:val="0"/>
          <w:marRight w:val="0"/>
          <w:marTop w:val="0"/>
          <w:marBottom w:val="0"/>
          <w:divBdr>
            <w:top w:val="none" w:sz="0" w:space="0" w:color="auto"/>
            <w:left w:val="none" w:sz="0" w:space="0" w:color="auto"/>
            <w:bottom w:val="none" w:sz="0" w:space="0" w:color="auto"/>
            <w:right w:val="none" w:sz="0" w:space="0" w:color="auto"/>
          </w:divBdr>
          <w:divsChild>
            <w:div w:id="648172900">
              <w:marLeft w:val="0"/>
              <w:marRight w:val="0"/>
              <w:marTop w:val="0"/>
              <w:marBottom w:val="0"/>
              <w:divBdr>
                <w:top w:val="none" w:sz="0" w:space="0" w:color="auto"/>
                <w:left w:val="none" w:sz="0" w:space="0" w:color="auto"/>
                <w:bottom w:val="none" w:sz="0" w:space="0" w:color="auto"/>
                <w:right w:val="none" w:sz="0" w:space="0" w:color="auto"/>
              </w:divBdr>
            </w:div>
          </w:divsChild>
        </w:div>
        <w:div w:id="1086220604">
          <w:marLeft w:val="0"/>
          <w:marRight w:val="0"/>
          <w:marTop w:val="0"/>
          <w:marBottom w:val="0"/>
          <w:divBdr>
            <w:top w:val="none" w:sz="0" w:space="0" w:color="auto"/>
            <w:left w:val="none" w:sz="0" w:space="0" w:color="auto"/>
            <w:bottom w:val="none" w:sz="0" w:space="0" w:color="auto"/>
            <w:right w:val="none" w:sz="0" w:space="0" w:color="auto"/>
          </w:divBdr>
          <w:divsChild>
            <w:div w:id="1488285916">
              <w:marLeft w:val="0"/>
              <w:marRight w:val="0"/>
              <w:marTop w:val="0"/>
              <w:marBottom w:val="0"/>
              <w:divBdr>
                <w:top w:val="none" w:sz="0" w:space="0" w:color="auto"/>
                <w:left w:val="none" w:sz="0" w:space="0" w:color="auto"/>
                <w:bottom w:val="none" w:sz="0" w:space="0" w:color="auto"/>
                <w:right w:val="none" w:sz="0" w:space="0" w:color="auto"/>
              </w:divBdr>
            </w:div>
          </w:divsChild>
        </w:div>
        <w:div w:id="364644195">
          <w:marLeft w:val="0"/>
          <w:marRight w:val="0"/>
          <w:marTop w:val="0"/>
          <w:marBottom w:val="0"/>
          <w:divBdr>
            <w:top w:val="none" w:sz="0" w:space="0" w:color="auto"/>
            <w:left w:val="none" w:sz="0" w:space="0" w:color="auto"/>
            <w:bottom w:val="none" w:sz="0" w:space="0" w:color="auto"/>
            <w:right w:val="none" w:sz="0" w:space="0" w:color="auto"/>
          </w:divBdr>
          <w:divsChild>
            <w:div w:id="928076786">
              <w:marLeft w:val="0"/>
              <w:marRight w:val="0"/>
              <w:marTop w:val="0"/>
              <w:marBottom w:val="0"/>
              <w:divBdr>
                <w:top w:val="none" w:sz="0" w:space="0" w:color="auto"/>
                <w:left w:val="none" w:sz="0" w:space="0" w:color="auto"/>
                <w:bottom w:val="none" w:sz="0" w:space="0" w:color="auto"/>
                <w:right w:val="none" w:sz="0" w:space="0" w:color="auto"/>
              </w:divBdr>
            </w:div>
          </w:divsChild>
        </w:div>
        <w:div w:id="1781337547">
          <w:marLeft w:val="0"/>
          <w:marRight w:val="0"/>
          <w:marTop w:val="0"/>
          <w:marBottom w:val="0"/>
          <w:divBdr>
            <w:top w:val="none" w:sz="0" w:space="0" w:color="auto"/>
            <w:left w:val="none" w:sz="0" w:space="0" w:color="auto"/>
            <w:bottom w:val="none" w:sz="0" w:space="0" w:color="auto"/>
            <w:right w:val="none" w:sz="0" w:space="0" w:color="auto"/>
          </w:divBdr>
          <w:divsChild>
            <w:div w:id="1596862190">
              <w:marLeft w:val="0"/>
              <w:marRight w:val="0"/>
              <w:marTop w:val="0"/>
              <w:marBottom w:val="0"/>
              <w:divBdr>
                <w:top w:val="none" w:sz="0" w:space="0" w:color="auto"/>
                <w:left w:val="none" w:sz="0" w:space="0" w:color="auto"/>
                <w:bottom w:val="none" w:sz="0" w:space="0" w:color="auto"/>
                <w:right w:val="none" w:sz="0" w:space="0" w:color="auto"/>
              </w:divBdr>
            </w:div>
          </w:divsChild>
        </w:div>
        <w:div w:id="460226545">
          <w:marLeft w:val="0"/>
          <w:marRight w:val="0"/>
          <w:marTop w:val="0"/>
          <w:marBottom w:val="0"/>
          <w:divBdr>
            <w:top w:val="none" w:sz="0" w:space="0" w:color="auto"/>
            <w:left w:val="none" w:sz="0" w:space="0" w:color="auto"/>
            <w:bottom w:val="none" w:sz="0" w:space="0" w:color="auto"/>
            <w:right w:val="none" w:sz="0" w:space="0" w:color="auto"/>
          </w:divBdr>
          <w:divsChild>
            <w:div w:id="869413075">
              <w:marLeft w:val="0"/>
              <w:marRight w:val="0"/>
              <w:marTop w:val="0"/>
              <w:marBottom w:val="0"/>
              <w:divBdr>
                <w:top w:val="none" w:sz="0" w:space="0" w:color="auto"/>
                <w:left w:val="none" w:sz="0" w:space="0" w:color="auto"/>
                <w:bottom w:val="none" w:sz="0" w:space="0" w:color="auto"/>
                <w:right w:val="none" w:sz="0" w:space="0" w:color="auto"/>
              </w:divBdr>
            </w:div>
          </w:divsChild>
        </w:div>
        <w:div w:id="544407739">
          <w:marLeft w:val="0"/>
          <w:marRight w:val="0"/>
          <w:marTop w:val="0"/>
          <w:marBottom w:val="0"/>
          <w:divBdr>
            <w:top w:val="none" w:sz="0" w:space="0" w:color="auto"/>
            <w:left w:val="none" w:sz="0" w:space="0" w:color="auto"/>
            <w:bottom w:val="none" w:sz="0" w:space="0" w:color="auto"/>
            <w:right w:val="none" w:sz="0" w:space="0" w:color="auto"/>
          </w:divBdr>
          <w:divsChild>
            <w:div w:id="1606381089">
              <w:marLeft w:val="0"/>
              <w:marRight w:val="0"/>
              <w:marTop w:val="0"/>
              <w:marBottom w:val="0"/>
              <w:divBdr>
                <w:top w:val="none" w:sz="0" w:space="0" w:color="auto"/>
                <w:left w:val="none" w:sz="0" w:space="0" w:color="auto"/>
                <w:bottom w:val="none" w:sz="0" w:space="0" w:color="auto"/>
                <w:right w:val="none" w:sz="0" w:space="0" w:color="auto"/>
              </w:divBdr>
            </w:div>
          </w:divsChild>
        </w:div>
        <w:div w:id="1502818614">
          <w:marLeft w:val="0"/>
          <w:marRight w:val="0"/>
          <w:marTop w:val="0"/>
          <w:marBottom w:val="0"/>
          <w:divBdr>
            <w:top w:val="none" w:sz="0" w:space="0" w:color="auto"/>
            <w:left w:val="none" w:sz="0" w:space="0" w:color="auto"/>
            <w:bottom w:val="none" w:sz="0" w:space="0" w:color="auto"/>
            <w:right w:val="none" w:sz="0" w:space="0" w:color="auto"/>
          </w:divBdr>
          <w:divsChild>
            <w:div w:id="86313323">
              <w:marLeft w:val="0"/>
              <w:marRight w:val="0"/>
              <w:marTop w:val="0"/>
              <w:marBottom w:val="0"/>
              <w:divBdr>
                <w:top w:val="none" w:sz="0" w:space="0" w:color="auto"/>
                <w:left w:val="none" w:sz="0" w:space="0" w:color="auto"/>
                <w:bottom w:val="none" w:sz="0" w:space="0" w:color="auto"/>
                <w:right w:val="none" w:sz="0" w:space="0" w:color="auto"/>
              </w:divBdr>
            </w:div>
          </w:divsChild>
        </w:div>
        <w:div w:id="43526876">
          <w:marLeft w:val="0"/>
          <w:marRight w:val="0"/>
          <w:marTop w:val="0"/>
          <w:marBottom w:val="0"/>
          <w:divBdr>
            <w:top w:val="none" w:sz="0" w:space="0" w:color="auto"/>
            <w:left w:val="none" w:sz="0" w:space="0" w:color="auto"/>
            <w:bottom w:val="none" w:sz="0" w:space="0" w:color="auto"/>
            <w:right w:val="none" w:sz="0" w:space="0" w:color="auto"/>
          </w:divBdr>
          <w:divsChild>
            <w:div w:id="21146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209858D432141816D5986F8D88B9C" ma:contentTypeVersion="10" ma:contentTypeDescription="Create a new document." ma:contentTypeScope="" ma:versionID="6a8777f26eccf868f28373f99ffdfc48">
  <xsd:schema xmlns:xsd="http://www.w3.org/2001/XMLSchema" xmlns:xs="http://www.w3.org/2001/XMLSchema" xmlns:p="http://schemas.microsoft.com/office/2006/metadata/properties" xmlns:ns2="9c4faca7-8bb3-4be5-989f-3e8fbba19b4a" xmlns:ns3="86b9e830-19c1-4586-8634-f1671f920d0c" targetNamespace="http://schemas.microsoft.com/office/2006/metadata/properties" ma:root="true" ma:fieldsID="5d741d2e581d02e89a8540146ce441e1" ns2:_="" ns3:_="">
    <xsd:import namespace="9c4faca7-8bb3-4be5-989f-3e8fbba19b4a"/>
    <xsd:import namespace="86b9e830-19c1-4586-8634-f1671f920d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faca7-8bb3-4be5-989f-3e8fbba19b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9e830-19c1-4586-8634-f1671f920d0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A96E0-2818-4520-971F-EE72C2701EDA}">
  <ds:schemaRefs>
    <ds:schemaRef ds:uri="http://schemas.microsoft.com/sharepoint/v3/contenttype/forms"/>
  </ds:schemaRefs>
</ds:datastoreItem>
</file>

<file path=customXml/itemProps2.xml><?xml version="1.0" encoding="utf-8"?>
<ds:datastoreItem xmlns:ds="http://schemas.openxmlformats.org/officeDocument/2006/customXml" ds:itemID="{21D95EFA-E227-4C39-A118-9CE26A42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faca7-8bb3-4be5-989f-3e8fbba19b4a"/>
    <ds:schemaRef ds:uri="86b9e830-19c1-4586-8634-f1671f920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6F5D6-4E00-4472-98B3-475A0A166B7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Leon Pinch</dc:creator>
  <keywords/>
  <dc:description/>
  <lastModifiedBy>Fiona Carver</lastModifiedBy>
  <revision>9</revision>
  <dcterms:created xsi:type="dcterms:W3CDTF">2019-11-12T15:37:00.0000000Z</dcterms:created>
  <dcterms:modified xsi:type="dcterms:W3CDTF">2019-11-14T02:02:17.9847424Z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0x01010017C209858D432141816D5986F8D88B9C</vt:lpwstr>
  </property>
</Properties>
</file>